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ttf"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Catalyst: Sub-Saharan Africa</w:t>
      </w:r>
    </w:p>
    <w:p>
      <w:pPr>
        <w:pStyle w:val="Subtitle"/>
      </w:pPr>
      <w:r>
        <w:t xml:space="preserve">Request for Information · Response template</w:t>
      </w:r>
    </w:p>
    <w:p>
      <w:pPr>
        <w:spacing w:after="120"/>
      </w:pPr>
    </w:p>
    <w:p>
      <w:r>
        <w:t xml:space="preserve">Use this template to draft your answers offline. </w:t>
      </w:r>
      <w:r>
        <w:rPr>
          <w:b/>
          <w:bCs/>
        </w:rPr>
        <w:t xml:space="preserve">Responses are only accepted through the online form</w:t>
      </w:r>
      <w:r>
        <w:t xml:space="preserve">: when you are ready, paste each answer into the matching question at </w:t>
      </w:r>
      <w:hyperlink r:id="rIdL1">
        <w:r>
          <w:rPr>
            <w:u w:val="single"/>
            <w:color w:val="B0532A"/>
          </w:rPr>
          <w:t xml:space="preserve">chimaerafund.org/programs/catalyst-ssa/rfi/</w:t>
        </w:r>
      </w:hyperlink>
      <w:r>
        <w:t xml:space="preserve"> and submit by January 1, 2027, 23:59 ET.</w:t>
      </w:r>
    </w:p>
    <w:p>
      <w:r>
        <w:t xml:space="preserve">Every question is optional. Answer only those where you have relevant expertise, considered views, or direct experience. Do not include proprietary or confidential information.</w:t>
      </w:r>
    </w:p>
    <w:p>
      <w:r>
        <w:t xml:space="preserve">Questions? Email </w:t>
      </w:r>
      <w:hyperlink r:id="rIdL2">
        <w:r>
          <w:rPr>
            <w:u w:val="single"/>
            <w:color w:val="B0532A"/>
          </w:rPr>
          <w:t xml:space="preserve">geoh2-ssa@renphil.org</w:t>
        </w:r>
      </w:hyperlink>
      <w:r>
        <w:t xml:space="preserve">.</w:t>
      </w:r>
    </w:p>
    <w:p>
      <w:pPr>
        <w:pStyle w:val="Heading1"/>
      </w:pPr>
      <w:r>
        <w:t xml:space="preserve">Your details</w:t>
      </w:r>
    </w:p>
    <w:tbl>
      <w:tblPr>
        <w:tblW w:w="5000" w:type="pct"/>
        <w:tblBorders>
          <w:insideH w:val="single" w:sz="4" w:space="0" w:color="C9C3B6"/>
          <w:top w:val="single" w:sz="4" w:space="0" w:color="C9C3B6"/>
          <w:bottom w:val="single" w:sz="4" w:space="0" w:color="C9C3B6"/>
        </w:tblBorders>
        <w:tblCellMar>
          <w:top w:w="80" w:type="dxa"/>
          <w:left w:w="0" w:type="dxa"/>
          <w:bottom w:w="80" w:type="dxa"/>
          <w:right w:w="140" w:type="dxa"/>
        </w:tblCellMar>
      </w:tblPr>
      <w:tblGrid>
        <w:gridCol w:w="3000"/>
        <w:gridCol w:w="7800"/>
      </w:tblGrid>
      <w:tr>
        <w:tc>
          <w:tcPr>
            <w:tcW w:w="3000" w:type="dxa"/>
          </w:tcPr>
          <w:p>
            <w:pPr>
              <w:spacing w:after="0"/>
            </w:pPr>
            <w:r>
              <w:rPr>
                <w:rFonts w:ascii="Inter SemiBold" w:hAnsi="Inter SemiBold" w:cs="Inter SemiBold" w:eastAsia="Inter SemiBold"/>
              </w:rPr>
              <w:t xml:space="preserve">Name</w:t>
            </w:r>
            <w:r>
              <w:rPr>
                <w:color w:val="666666"/>
                <w:sz w:val="18"/>
                <w:szCs w:val="18"/>
              </w:rPr>
              <w:t xml:space="preserve"> (required)</w:t>
            </w:r>
          </w:p>
        </w:tc>
        <w:tc>
          <w:tcPr>
            <w:tcW w:w="7800" w:type="dxa"/>
          </w:tcPr>
          <w:p>
            <w:pPr>
              <w:spacing w:after="0"/>
            </w:pPr>
          </w:p>
        </w:tc>
      </w:tr>
      <w:tr>
        <w:tc>
          <w:tcPr>
            <w:tcW w:w="3000" w:type="dxa"/>
          </w:tcPr>
          <w:p>
            <w:pPr>
              <w:spacing w:after="0"/>
            </w:pPr>
            <w:r>
              <w:rPr>
                <w:rFonts w:ascii="Inter SemiBold" w:hAnsi="Inter SemiBold" w:cs="Inter SemiBold" w:eastAsia="Inter SemiBold"/>
              </w:rPr>
              <w:t xml:space="preserve">Title</w:t>
            </w:r>
          </w:p>
        </w:tc>
        <w:tc>
          <w:tcPr>
            <w:tcW w:w="7800" w:type="dxa"/>
          </w:tcPr>
          <w:p>
            <w:pPr>
              <w:spacing w:after="0"/>
            </w:pPr>
          </w:p>
        </w:tc>
      </w:tr>
      <w:tr>
        <w:tc>
          <w:tcPr>
            <w:tcW w:w="3000" w:type="dxa"/>
          </w:tcPr>
          <w:p>
            <w:pPr>
              <w:spacing w:after="0"/>
            </w:pPr>
            <w:r>
              <w:rPr>
                <w:rFonts w:ascii="Inter SemiBold" w:hAnsi="Inter SemiBold" w:cs="Inter SemiBold" w:eastAsia="Inter SemiBold"/>
              </w:rPr>
              <w:t xml:space="preserve">Organization</w:t>
            </w:r>
            <w:r>
              <w:rPr>
                <w:color w:val="666666"/>
                <w:sz w:val="18"/>
                <w:szCs w:val="18"/>
              </w:rPr>
              <w:t xml:space="preserve"> (required)</w:t>
            </w:r>
          </w:p>
        </w:tc>
        <w:tc>
          <w:tcPr>
            <w:tcW w:w="7800" w:type="dxa"/>
          </w:tcPr>
          <w:p>
            <w:pPr>
              <w:spacing w:after="0"/>
            </w:pPr>
          </w:p>
        </w:tc>
      </w:tr>
      <w:tr>
        <w:tc>
          <w:tcPr>
            <w:tcW w:w="3000" w:type="dxa"/>
          </w:tcPr>
          <w:p>
            <w:pPr>
              <w:spacing w:after="0"/>
            </w:pPr>
            <w:r>
              <w:rPr>
                <w:rFonts w:ascii="Inter SemiBold" w:hAnsi="Inter SemiBold" w:cs="Inter SemiBold" w:eastAsia="Inter SemiBold"/>
              </w:rPr>
              <w:t xml:space="preserve">Organization type</w:t>
            </w:r>
          </w:p>
        </w:tc>
        <w:tc>
          <w:tcPr>
            <w:tcW w:w="7800" w:type="dxa"/>
          </w:tcPr>
          <w:p>
            <w:pPr>
              <w:spacing w:after="0"/>
            </w:pPr>
          </w:p>
        </w:tc>
      </w:tr>
      <w:tr>
        <w:tc>
          <w:tcPr>
            <w:tcW w:w="3000" w:type="dxa"/>
          </w:tcPr>
          <w:p>
            <w:pPr>
              <w:spacing w:after="0"/>
            </w:pPr>
            <w:r>
              <w:rPr>
                <w:rFonts w:ascii="Inter SemiBold" w:hAnsi="Inter SemiBold" w:cs="Inter SemiBold" w:eastAsia="Inter SemiBold"/>
              </w:rPr>
              <w:t xml:space="preserve">Country</w:t>
            </w:r>
          </w:p>
        </w:tc>
        <w:tc>
          <w:tcPr>
            <w:tcW w:w="7800" w:type="dxa"/>
          </w:tcPr>
          <w:p>
            <w:pPr>
              <w:spacing w:after="0"/>
            </w:pPr>
          </w:p>
        </w:tc>
      </w:tr>
      <w:tr>
        <w:tc>
          <w:tcPr>
            <w:tcW w:w="3000" w:type="dxa"/>
          </w:tcPr>
          <w:p>
            <w:pPr>
              <w:spacing w:after="0"/>
            </w:pPr>
            <w:r>
              <w:rPr>
                <w:rFonts w:ascii="Inter SemiBold" w:hAnsi="Inter SemiBold" w:cs="Inter SemiBold" w:eastAsia="Inter SemiBold"/>
              </w:rPr>
              <w:t xml:space="preserve">Email address</w:t>
            </w:r>
            <w:r>
              <w:rPr>
                <w:color w:val="666666"/>
                <w:sz w:val="18"/>
                <w:szCs w:val="18"/>
              </w:rPr>
              <w:t xml:space="preserve"> (required)</w:t>
            </w:r>
          </w:p>
        </w:tc>
        <w:tc>
          <w:tcPr>
            <w:tcW w:w="7800" w:type="dxa"/>
          </w:tcPr>
          <w:p>
            <w:pPr>
              <w:spacing w:after="0"/>
            </w:pPr>
          </w:p>
        </w:tc>
      </w:tr>
      <w:tr>
        <w:tc>
          <w:tcPr>
            <w:tcW w:w="3000" w:type="dxa"/>
          </w:tcPr>
          <w:p>
            <w:pPr>
              <w:spacing w:after="0"/>
            </w:pPr>
            <w:r>
              <w:rPr>
                <w:rFonts w:ascii="Inter SemiBold" w:hAnsi="Inter SemiBold" w:cs="Inter SemiBold" w:eastAsia="Inter SemiBold"/>
              </w:rPr>
              <w:t xml:space="preserve">Area of expertise</w:t>
            </w:r>
          </w:p>
        </w:tc>
        <w:tc>
          <w:tcPr>
            <w:tcW w:w="7800" w:type="dxa"/>
          </w:tcPr>
          <w:p>
            <w:pPr>
              <w:spacing w:after="0"/>
            </w:pPr>
          </w:p>
        </w:tc>
      </w:tr>
    </w:tbl>
    <w:p>
      <w:pPr>
        <w:spacing w:before="120"/>
      </w:pPr>
      <w:r>
        <w:rPr>
          <w:color w:val="666666"/>
          <w:sz w:val="18"/>
          <w:szCs w:val="18"/>
        </w:rPr>
        <w:t xml:space="preserve">Organization types: Industry; Academia / research; Government; Nonprofit / NGO; Funder / investor; Other.</w:t>
      </w:r>
    </w:p>
    <w:p>
      <w:pPr>
        <w:pStyle w:val="Heading1"/>
      </w:pPr>
      <w:r>
        <w:t xml:space="preserve">Section 0: Respondent Background</w:t>
      </w:r>
    </w:p>
    <w:p>
      <w:pPr>
        <w:keepNext/>
        <w:keepLines/>
        <w:spacing w:before="200" w:after="100"/>
      </w:pPr>
      <w:r>
        <w:rPr>
          <w:rFonts w:ascii="Inter SemiBold" w:hAnsi="Inter SemiBold" w:cs="Inter SemiBold" w:eastAsia="Inter SemiBold"/>
        </w:rPr>
        <w:t xml:space="preserve">0.1  </w:t>
      </w:r>
      <w:r>
        <w:t xml:space="preserve">Please indicate which role(s) in the Teams and Partnerships list best align with your interest. If you are not well-suited to any of these roles, please describe more about your interest in participating in or advising this program.</w:t>
      </w:r>
    </w:p>
    <w:p>
      <w:pPr>
        <w:keepNext/>
        <w:spacing w:before="60" w:after="60"/>
      </w:pPr>
      <w:r>
        <w:rPr>
          <w:color w:val="666666"/>
          <w:sz w:val="18"/>
          <w:szCs w:val="18"/>
        </w:rPr>
        <w:t xml:space="preserve">Roles (mark any that apply):</w:t>
      </w:r>
    </w:p>
    <w:p>
      <w:pPr>
        <w:spacing w:after="20"/>
        <w:ind w:left="360"/>
      </w:pPr>
      <w:r>
        <w:t xml:space="preserve">☐  Vertical · Geophysics</w:t>
      </w:r>
    </w:p>
    <w:p>
      <w:pPr>
        <w:spacing w:after="20"/>
        <w:ind w:left="360"/>
      </w:pPr>
      <w:r>
        <w:t xml:space="preserve">☐  Vertical · Geochemistry</w:t>
      </w:r>
    </w:p>
    <w:p>
      <w:pPr>
        <w:spacing w:after="20"/>
        <w:ind w:left="360"/>
      </w:pPr>
      <w:r>
        <w:t xml:space="preserve">☐  Vertical · Geology</w:t>
      </w:r>
    </w:p>
    <w:p>
      <w:pPr>
        <w:spacing w:after="20"/>
        <w:ind w:left="360"/>
      </w:pPr>
      <w:r>
        <w:t xml:space="preserve">☐  Horizontal · In-country host institution</w:t>
      </w:r>
    </w:p>
    <w:p>
      <w:pPr>
        <w:spacing w:after="20"/>
        <w:ind w:left="360"/>
      </w:pPr>
      <w:r>
        <w:t xml:space="preserve">☐  Horizontal · Country lead</w:t>
      </w:r>
    </w:p>
    <w:p>
      <w:pPr>
        <w:spacing w:after="20"/>
        <w:ind w:left="360"/>
      </w:pPr>
      <w:r>
        <w:t xml:space="preserve">☐  Horizontal · Government and geological survey partners</w:t>
      </w:r>
    </w:p>
    <w:p>
      <w:pPr>
        <w:spacing w:after="20"/>
        <w:ind w:left="360"/>
      </w:pPr>
      <w:r>
        <w:t xml:space="preserve">☐  Horizontal · Regional companies</w:t>
      </w:r>
    </w:p>
    <w:p>
      <w:pPr>
        <w:spacing w:after="20"/>
        <w:ind w:left="360"/>
      </w:pPr>
      <w:r>
        <w:t xml:space="preserve">☐  Horizontal · Drilling and geophysical service providers</w:t>
      </w:r>
    </w:p>
    <w:p>
      <w:pPr>
        <w:spacing w:after="20"/>
        <w:ind w:left="360"/>
      </w:pPr>
      <w:r>
        <w:t xml:space="preserve">☐  Horizontal · Private data providers</w:t>
      </w:r>
    </w:p>
    <w:p>
      <w:pPr>
        <w:spacing w:after="20"/>
        <w:ind w:left="360"/>
      </w:pPr>
      <w:r>
        <w:t xml:space="preserve">☐  Neither / other interest</w:t>
      </w:r>
    </w:p>
    <w:p>
      <w:pPr>
        <w:spacing w:after="60"/>
      </w:pP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pStyle w:val="Heading1"/>
      </w:pPr>
      <w:r>
        <w:t xml:space="preserve">Section 1: Geologic Hydrogen Resource Potential in Kenya, Ethiopia, and Nigeria</w:t>
      </w:r>
    </w:p>
    <w:p>
      <w:pPr>
        <w:keepNext/>
        <w:keepLines/>
        <w:spacing w:before="200" w:after="100"/>
      </w:pPr>
      <w:r>
        <w:rPr>
          <w:rFonts w:ascii="Inter SemiBold" w:hAnsi="Inter SemiBold" w:cs="Inter SemiBold" w:eastAsia="Inter SemiBold"/>
        </w:rPr>
        <w:t xml:space="preserve">1.1  </w:t>
      </w:r>
      <w:r>
        <w:t xml:space="preserve">In your view, which geological formations in Kenya, Ethiopia, and Nigeria — for example ultramafic complexes, ophiolites, serpentinized peridotites, or iron-rich formations — appear most prospective for geologic hydrogen generation, accumulation, or stimulation? What evidence informs that view?</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1.2  </w:t>
      </w:r>
      <w:r>
        <w:t xml:space="preserve">Are you aware of (a) documented occurrences of natural hydrogen seeps, shows, or anomalies in Kenya, Ethiopia, or Nigeria, or (b) existing geological mapping, prospectivity assessments, or basin studies relevant to evaluating geologic hydrogen potential in Kenya, Ethiopia, or Nigeria, whether from prior oil and gas, geothermal, mining, or academic work?</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1.3  </w:t>
      </w:r>
      <w:r>
        <w:t xml:space="preserve">In your view, what is the overlap between regions/basins in Kenya, Ethiopia, or Nigeria that are prospective for geologic hydrogen with regions with major agricultural activity or existing infrastructure?</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1.4  </w:t>
      </w:r>
      <w:r>
        <w:t xml:space="preserve">Based on your experience, are there comparable geological settings with hydrogen-producing systems in other countries in sub-Saharan Africa or outside sub-Saharan Africa that could inform the assessment of the region’s geologic hydrogen potential?</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pStyle w:val="Heading1"/>
      </w:pPr>
      <w:r>
        <w:t xml:space="preserve">Section 2: Subsurface and Geophysical Data Availability</w:t>
      </w:r>
    </w:p>
    <w:p>
      <w:pPr>
        <w:keepNext/>
        <w:keepLines/>
        <w:spacing w:before="200" w:after="100"/>
      </w:pPr>
      <w:r>
        <w:rPr>
          <w:rFonts w:ascii="Inter SemiBold" w:hAnsi="Inter SemiBold" w:cs="Inter SemiBold" w:eastAsia="Inter SemiBold"/>
        </w:rPr>
        <w:t xml:space="preserve">2.1  </w:t>
      </w:r>
      <w:r>
        <w:t xml:space="preserve">Are you aware of geophysical datasets — including but not limited to seismic reflection or refraction, gravity, magnetic, magnetotelluric, electrical resistivity — for prospective regions in Ethiopia, Kenya, and Nigeria that this program could leverage? Who, in your understanding, holds custody of them and are there any associated restrictions to making the dataset public or sharing the dataset on a limited basis with research teams?</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2.2  </w:t>
      </w:r>
      <w:r>
        <w:t xml:space="preserve">Are you aware of core libraries, drill cuttings, or well-log archives in Ethiopia, Kenya, or Nigeria — from prior oil and gas, geothermal, or mineral exploration — that may be relevant to geologic hydrogen? From your experience, what kinds of access terms, licensing costs, or restrictions typically attach to such datasets?</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2.3  </w:t>
      </w:r>
      <w:r>
        <w:t xml:space="preserve">Are you aware of (a) precedents in Ethiopia, Kenya, or Nigeria for sharing legacy subsurface data with international research or commercial partners, and (b) significant gaps in publicly available subsurface data for prospective regions?</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2.4  </w:t>
      </w:r>
      <w:r>
        <w:t xml:space="preserve">What facilities and laboratory capabilities are available to conduct rock and fluid sample analyses in Nigeria, Kenya, or Ethiopia? If the program seeks to characterize the mineralogy of rock samples (e.g., XRD, XRF, Mössbauer spectroscopy) or fluid samples (e.g., GC/MS for gas samples, ion chromatography for fluids), how much could be done in-country?</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2.5  </w:t>
      </w:r>
      <w:r>
        <w:t xml:space="preserve">What resources and teams are available in-country if there was a devoted effort to collecting field samples (e.g., rocks, fluids, gases) or conducting geophysical surveys (e.g., electrical resistivity measurements, passive seismic)? What are some potential challenges which may impact field work? Who are the appropriate groups to engage to organize a field campaign?</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2.6  </w:t>
      </w:r>
      <w:r>
        <w:t xml:space="preserve">What kind of early-stage fieldwork would be most useful and appropriate to help select a potential field site?</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2.7  </w:t>
      </w:r>
      <w:r>
        <w:t xml:space="preserve">In what form do available datasets exist (e.g., paper archives, digital files) and are they raw data files or have they been pre-processed?</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2.8  </w:t>
      </w:r>
      <w:r>
        <w:t xml:space="preserve">Which additional measurements or field investigations would most effectively resolve the critical uncertainties before committing to additional phases in the program?</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pStyle w:val="Heading1"/>
      </w:pPr>
      <w:r>
        <w:t xml:space="preserve">Section 3: Field Operations, Costs, and Service Capacity in sub-Saharan Africa</w:t>
      </w:r>
    </w:p>
    <w:p>
      <w:pPr>
        <w:keepNext/>
        <w:keepLines/>
        <w:spacing w:before="200" w:after="100"/>
      </w:pPr>
      <w:r>
        <w:rPr>
          <w:rFonts w:ascii="Inter SemiBold" w:hAnsi="Inter SemiBold" w:cs="Inter SemiBold" w:eastAsia="Inter SemiBold"/>
        </w:rPr>
        <w:t xml:space="preserve">3.1  </w:t>
      </w:r>
      <w:r>
        <w:t xml:space="preserve">Based on your experience or pricing intelligence, what cost ranges should be expected for, and what factors most influence those costs in, the following:</w:t>
      </w:r>
    </w:p>
    <w:p>
      <w:pPr>
        <w:numPr>
          <w:ilvl w:val="0"/>
          <w:numId w:val="1"/>
        </w:numPr>
        <w:spacing w:after="60"/>
      </w:pPr>
      <w:r>
        <w:t xml:space="preserve">Geophysical field surveys, by survey type;</w:t>
      </w:r>
    </w:p>
    <w:p>
      <w:pPr>
        <w:numPr>
          <w:ilvl w:val="0"/>
          <w:numId w:val="1"/>
        </w:numPr>
        <w:spacing w:after="60"/>
      </w:pPr>
      <w:r>
        <w:t xml:space="preserve">Drilling exploratory or test wells, by depth and well type;</w:t>
      </w:r>
    </w:p>
    <w:p>
      <w:pPr>
        <w:numPr>
          <w:ilvl w:val="0"/>
          <w:numId w:val="1"/>
        </w:numPr>
        <w:spacing w:after="60"/>
      </w:pPr>
      <w:r>
        <w:t xml:space="preserve">Technical and field-team personnel;</w:t>
      </w:r>
    </w:p>
    <w:p>
      <w:pPr>
        <w:numPr>
          <w:ilvl w:val="0"/>
          <w:numId w:val="1"/>
        </w:numPr>
        <w:spacing w:after="60"/>
      </w:pPr>
      <w:r>
        <w:t xml:space="preserve">Other costs not identified but necessary to participate in the Program as described</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3.2  </w:t>
      </w:r>
      <w:r>
        <w:t xml:space="preserve">The overall program will require access to available geophysical data, drilling rigs, laboratories, and engineering service providers in sub-Saharan Africa. How should the program think about their availability over the 2027–2028 period and what, if any, barriers should we anticipate?</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3.3  </w:t>
      </w:r>
      <w:r>
        <w:t xml:space="preserve">From your perspective, which capabilities or equipment are readily available domestically, and which would typically need to be contracted internationally or imported?</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pStyle w:val="Heading1"/>
      </w:pPr>
      <w:r>
        <w:t xml:space="preserve">Section 4: Regulatory, Permitting, Land Access, and Operator Risk</w:t>
      </w:r>
    </w:p>
    <w:p>
      <w:pPr>
        <w:keepNext/>
        <w:keepLines/>
        <w:spacing w:before="200" w:after="100"/>
      </w:pPr>
      <w:r>
        <w:rPr>
          <w:rFonts w:ascii="Inter SemiBold" w:hAnsi="Inter SemiBold" w:cs="Inter SemiBold" w:eastAsia="Inter SemiBold"/>
        </w:rPr>
        <w:t xml:space="preserve">4.1  </w:t>
      </w:r>
      <w:r>
        <w:t xml:space="preserve">What is your view of the regulatory environment governing exploratory drilling in Kenya, Ethiopia, and Nigeria, including how precedents from oil and gas, geothermal, deep-water, or mineral exploration might apply to geologic hydrogen?</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4.2  </w:t>
      </w:r>
      <w:r>
        <w:t xml:space="preserve">Are you aware of regulatory challenges or ambiguities specific to geologic hydrogen in Kenya, Ethiopia, and Nigeria?</w:t>
      </w:r>
    </w:p>
    <w:p>
      <w:pPr>
        <w:numPr>
          <w:ilvl w:val="0"/>
          <w:numId w:val="1"/>
        </w:numPr>
        <w:spacing w:after="60"/>
      </w:pPr>
      <w:r>
        <w:t xml:space="preserve">How might geologic hydrogen be classified under existing law or resource regulation?</w:t>
      </w:r>
    </w:p>
    <w:p>
      <w:pPr>
        <w:numPr>
          <w:ilvl w:val="0"/>
          <w:numId w:val="1"/>
        </w:numPr>
        <w:spacing w:after="60"/>
      </w:pPr>
      <w:r>
        <w:t xml:space="preserve">How might the regulations change for a naturally occurring geologic hydrogen accumulation versus an engineered/stimulated geologic hydrogen well (i.e., water is injected into a source rock to accelerate hydrogen-forming reactions in the subsurface)?</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4.3  </w:t>
      </w:r>
      <w:r>
        <w:t xml:space="preserve">Is there one country in particular out of the three that is more likely to be a first mover in geologic hydrogen due to favorable pre-existing regulations?</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4.4  </w:t>
      </w:r>
      <w:r>
        <w:t xml:space="preserve">Based on your experience, how straightforward are the permitting processes in Kenya, Ethiopia, and Nigeria for exploratory wells? What permitting timelines should the program expect to encounter, what factors most influence them, and what practical differences would you flag as most important?</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4.5  </w:t>
      </w:r>
      <w:r>
        <w:t xml:space="preserve">If no regulations exist which could be applied to a geologic hydrogen testbed, what would some next steps look like? What would the pathway to acceptance look like and how long would it take?</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4.6  </w:t>
      </w:r>
      <w:r>
        <w:t xml:space="preserve">What safety, environmental, and community considerations should the program anticipate for drilling and water injection (for example induced seismicity, water use in water-stressed regions, hydrogen venting, land tenure and community consent, and local benefit-sharing), and which government agencies should be engaged on each?</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pStyle w:val="Heading1"/>
      </w:pPr>
      <w:r>
        <w:t xml:space="preserve">Section 5: Ammonia/Fertilizer Production and Offtake</w:t>
      </w:r>
    </w:p>
    <w:p>
      <w:pPr>
        <w:keepNext/>
        <w:keepLines/>
        <w:spacing w:before="200" w:after="100"/>
      </w:pPr>
      <w:r>
        <w:rPr>
          <w:rFonts w:ascii="Inter SemiBold" w:hAnsi="Inter SemiBold" w:cs="Inter SemiBold" w:eastAsia="Inter SemiBold"/>
        </w:rPr>
        <w:t xml:space="preserve">5.1  </w:t>
      </w:r>
      <w:r>
        <w:t xml:space="preserve">What scale is existing ammonia/fertilizer production in Kenya, Ethiopia, and Nigeria in terms of volume and location? Who are the largest producers/companies?</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5.2  </w:t>
      </w:r>
      <w:r>
        <w:t xml:space="preserve">What is the level of hydrogen infrastructure available to support production, transportation, and utilization if geologic hydrogen production can be demonstrated?</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5.3  </w:t>
      </w:r>
      <w:r>
        <w:t xml:space="preserve">What are examples of the most promising modular ammonia production technologies which are sized for ~100 tons H₂ per year? What is the estimated technology readiness level of the technology?</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5.4  </w:t>
      </w:r>
      <w:r>
        <w:t xml:space="preserve">At what delivered hydrogen or ammonia price, and under what conditions (volume, quality, contract length, counterparty), would local fertilizer producers, blenders, or distributors commit to offtake from a small-scale geologic hydrogen source?</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5.5  </w:t>
      </w:r>
      <w:r>
        <w:t xml:space="preserve">How should infrastructure availability, proximity to potential users, and transport costs be incorporated into the ranking of Areas of Interest?</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pStyle w:val="Heading1"/>
      </w:pPr>
      <w:r>
        <w:t xml:space="preserve">Section 6: Partnership Interest and Teaming</w:t>
      </w:r>
    </w:p>
    <w:p>
      <w:pPr>
        <w:keepNext/>
        <w:keepLines/>
        <w:spacing w:before="200" w:after="100"/>
      </w:pPr>
      <w:r>
        <w:rPr>
          <w:rFonts w:ascii="Inter SemiBold" w:hAnsi="Inter SemiBold" w:cs="Inter SemiBold" w:eastAsia="Inter SemiBold"/>
        </w:rPr>
        <w:t xml:space="preserve">6.1  </w:t>
      </w:r>
      <w:r>
        <w:t xml:space="preserve">For international geologic hydrogen organizations: is your organization interested in participating in the program? If a requirement was integrated into the program to partner with local universities or institutions based in Kenya, Ethiopia, and Nigeria, what kind of partners would you seek?</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6.2  </w:t>
      </w:r>
      <w:r>
        <w:t xml:space="preserve">What would most enable or unlock your organization’s participation in the program, and what concerns, barriers, or risks would discourage participation?</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pStyle w:val="Heading1"/>
      </w:pPr>
      <w:r>
        <w:t xml:space="preserve">Section 7: Program Design Feedback</w:t>
      </w:r>
    </w:p>
    <w:p>
      <w:pPr>
        <w:keepNext/>
        <w:keepLines/>
        <w:spacing w:before="200" w:after="100"/>
      </w:pPr>
      <w:r>
        <w:rPr>
          <w:rFonts w:ascii="Inter SemiBold" w:hAnsi="Inter SemiBold" w:cs="Inter SemiBold" w:eastAsia="Inter SemiBold"/>
        </w:rPr>
        <w:t xml:space="preserve">7.1  </w:t>
      </w:r>
      <w:r>
        <w:t xml:space="preserve">What is your assessment of the proposed three-stage structure — Identification of Areas of Interest, Follow-On Fieldwork and Site Selection, and Pilot Test — and any general reflections on the nature of the Program?</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7.2  </w:t>
      </w:r>
      <w:r>
        <w:t xml:space="preserve">What is your assessment of a potential requirement that each team include both an international entity with geologic hydrogen capability and a local institution based in Kenya, Ethiopia, and Nigeria? What other factors should be considered for team selection?</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7.3  </w:t>
      </w:r>
      <w:r>
        <w:t xml:space="preserve">What co-funding mechanisms, incentives, or matching frameworks could strengthen the program?</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7.4  </w:t>
      </w:r>
      <w:r>
        <w:t xml:space="preserve">In your view, how should the program structure intellectual property and data-ownership frameworks to maximize the public value of openly released subsurface data while protecting legitimate commercial and IP interests of participating teams? What precedents from prior international research collaboration are relevant?</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7.5  </w:t>
      </w:r>
      <w:r>
        <w:t xml:space="preserve">As currently envisioned, the program's IP framework would allow participants to retain ownership of Background Technology</w:t>
      </w:r>
      <w:r>
        <w:rPr>
          <w:vertAlign w:val="superscript"/>
        </w:rPr>
        <w:footnoteReference w:id="1"/>
      </w:r>
      <w:r>
        <w:t xml:space="preserve">. However, any outputs or IP that is developed as a result of work conducted in the program (i.e., Funded Development</w:t>
      </w:r>
      <w:r>
        <w:rPr>
          <w:vertAlign w:val="superscript"/>
        </w:rPr>
        <w:footnoteReference w:id="2"/>
      </w:r>
      <w:r>
        <w:t xml:space="preserve">) would be subject to open access policies, including (a) the knowledge and information gained from the project be promptly and broadly disseminated; and (b) the Funded Developments be made available and accessible at an affordable price to people most in need within developing countries. How would this arrangement affect your organization's decision to participate, and (if applicable) your investors' willingness to support that participation?</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7.6  </w:t>
      </w:r>
      <w:r>
        <w:t xml:space="preserve">What minimum evidence and uncertainty assessment should be required to advance an Area of Interest from Stage 1 to Stage 2?</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p>
      <w:pPr>
        <w:keepNext/>
        <w:keepLines/>
        <w:spacing w:before="200" w:after="100"/>
      </w:pPr>
      <w:r>
        <w:rPr>
          <w:rFonts w:ascii="Inter SemiBold" w:hAnsi="Inter SemiBold" w:cs="Inter SemiBold" w:eastAsia="Inter SemiBold"/>
        </w:rPr>
        <w:t xml:space="preserve">7.7  </w:t>
      </w:r>
      <w:r>
        <w:t xml:space="preserve">Please share any other input you consider important on the program’s design, risks, or opportunities.</w:t>
      </w:r>
    </w:p>
    <w:tbl>
      <w:tblPr>
        <w:tblW w:w="5000" w:type="pct"/>
        <w:tblBorders>
          <w:top w:val="single" w:sz="4" w:space="0" w:color="C9C3B6"/>
          <w:left w:val="single" w:sz="4" w:space="0" w:color="C9C3B6"/>
          <w:bottom w:val="single" w:sz="4" w:space="0" w:color="C9C3B6"/>
          <w:right w:val="single" w:sz="4" w:space="0" w:color="C9C3B6"/>
        </w:tblBorders>
        <w:tblCellMar>
          <w:top w:w="100" w:type="dxa"/>
          <w:left w:w="140" w:type="dxa"/>
          <w:bottom w:w="100" w:type="dxa"/>
          <w:right w:w="140" w:type="dxa"/>
        </w:tblCellMar>
      </w:tblPr>
      <w:tblGrid>
        <w:gridCol w:w="10800"/>
      </w:tblGrid>
      <w:tr>
        <w:trPr>
          <w:trHeight w:val="720" w:hRule="atLeast"/>
        </w:trPr>
        <w:tc>
          <w:tcPr>
            <w:tcW w:w="5000" w:type="pct"/>
          </w:tcPr>
          <w:p>
            <w:pPr>
              <w:spacing w:after="0"/>
            </w:pPr>
          </w:p>
        </w:tc>
      </w:tr>
    </w:tbl>
    <w:p>
      <w:pPr>
        <w:spacing w:after="120"/>
      </w:pPr>
    </w:p>
    <w:sectPr>
      <w:headerReference w:type="default" r:id="rIdHdr"/>
      <w:footerReference w:type="default" r:id="rIdFtr"/>
      <w:footnotePr>
        <w:numFmt w:val="decimal"/>
      </w:footnotePr>
      <w:pgSz w:w="12240" w:h="15840"/>
      <w:pgMar w:top="1440" w:right="720" w:bottom="1440" w:left="720" w:header="720" w:footer="720" w:gut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rmorant Garamond">
    <w:embedBold w:fontKey="{00000000-0000-0000-0000-000000000000}" r:id="rId1" w:subsetted="0"/>
  </w:font>
  <w:font w:name="Inter SemiBold">
    <w:embedRegular w:fontKey="{00000000-0000-0000-0000-000000000000}" r:id="rId2" w:subsetted="0"/>
  </w:font>
  <w:font w:name="Inter">
    <w:embedRegular w:fontKey="{00000000-0000-0000-0000-000000000000}" r:id="rId3" w:subsetted="0"/>
  </w:font>
  <w:font w:name="Inter ExtraLight">
    <w:embedRegular w:fontKey="{00000000-0000-0000-0000-000000000000}" r:id="rId4" w:subsetted="0"/>
    <w:embedBold w:fontKey="{00000000-0000-0000-0000-000000000000}" r:id="rId5" w:subsetted="0"/>
    <w:embedItalic w:fontKey="{00000000-0000-0000-0000-000000000000}" r:id="rId6" w:subsetted="0"/>
  </w:font>
  <w:font w:name="Cormorant Garamond Light">
    <w:embedRegular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ind w:left="0"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w="http://schemas.openxmlformats.org/wordprocessingml/2006/main" xmlns:r="http://schemas.openxmlformats.org/officeDocument/2006/relationships">
  <w:footnote w:type="separator" w:id="-1">
    <w:p>
      <w:pPr>
        <w:spacing w:after="0" w:line="240" w:lineRule="auto"/>
      </w:pPr>
      <w:r>
        <w:separator/>
      </w:r>
    </w:p>
  </w:footnote>
  <w:footnote w:type="continuationSeparator" w:id="0">
    <w:p>
      <w:pPr>
        <w:spacing w:after="0" w:line="240" w:lineRule="auto"/>
      </w:pPr>
      <w:r>
        <w:continuationSeparator/>
      </w:r>
    </w:p>
  </w:footnote>
  <w:footnote w:id="1">
    <w:p>
      <w:pPr>
        <w:spacing w:after="40" w:line="240" w:lineRule="auto"/>
      </w:pPr>
      <w:r>
        <w:rPr>
          <w:vertAlign w:val="superscript"/>
          <w:sz w:val="16"/>
        </w:rPr>
        <w:footnoteRef/>
      </w:r>
      <w:r>
        <w:rPr>
          <w:sz w:val="16"/>
          <w:szCs w:val="16"/>
        </w:rPr>
        <w:t xml:space="preserve"> Here defined as all products, services, processes, technologies, materials, software, data, or other innovations, and intellectual property created by you or a third party prior to or outside of the project and used as part of the project.</w:t>
      </w:r>
    </w:p>
  </w:footnote>
  <w:footnote w:id="2">
    <w:p>
      <w:pPr>
        <w:spacing w:after="40" w:line="240" w:lineRule="auto"/>
      </w:pPr>
      <w:r>
        <w:rPr>
          <w:vertAlign w:val="superscript"/>
          <w:sz w:val="16"/>
        </w:rPr>
        <w:footnoteRef/>
      </w:r>
      <w:r>
        <w:rPr>
          <w:sz w:val="16"/>
          <w:szCs w:val="16"/>
        </w:rPr>
        <w:t xml:space="preserve"> Here defined as the products, services, processes, technologies, materials, software, data, other innovations, and intellectual property (IP) resulting from the project (including modifications, improvements, and further developments to Background Technology).</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ind w:left="0" w:firstLine="0"/>
      <w:jc w:val="right"/>
      <w:rPr/>
    </w:pPr>
    <w:r w:rsidDel="00000000" w:rsidR="00000000" w:rsidRPr="00000000">
      <w:rPr>
        <w:sz w:val="22"/>
        <w:szCs w:val="22"/>
        <w:rtl w:val="0"/>
      </w:rPr>
      <w:t xml:space="preserve">Catalyst: Sub-Saharan Africa · RFI response</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-228599</wp:posOffset>
          </wp:positionH>
          <wp:positionV relativeFrom="paragraph">
            <wp:posOffset>-104774</wp:posOffset>
          </wp:positionV>
          <wp:extent cx="2276475" cy="379413"/>
          <wp:effectExtent b="0" l="0" r="0" t="0"/>
          <wp:wrapNone/>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276475" cy="3794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ExtraLight" w:cs="Inter ExtraLight" w:eastAsia="Inter ExtraLight" w:hAnsi="Inter ExtraLight"/>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50" w:lineRule="auto"/>
    </w:pPr>
    <w:rPr>
      <w:rFonts w:ascii="Cormorant Garamond Light" w:cs="Cormorant Garamond Light" w:eastAsia="Cormorant Garamond Light" w:hAnsi="Cormorant Garamond Light"/>
      <w:sz w:val="36"/>
      <w:szCs w:val="36"/>
    </w:rPr>
  </w:style>
  <w:style w:type="paragraph" w:styleId="Heading2">
    <w:name w:val="heading 2"/>
    <w:basedOn w:val="Normal"/>
    <w:next w:val="Normal"/>
    <w:pPr>
      <w:keepNext w:val="1"/>
      <w:keepLines w:val="1"/>
      <w:spacing w:after="100" w:lineRule="auto"/>
    </w:pPr>
    <w:rPr>
      <w:rFonts w:ascii="Inter" w:cs="Inter" w:eastAsia="Inter" w:hAnsi="Inter"/>
      <w:sz w:val="26"/>
      <w:szCs w:val="26"/>
    </w:rPr>
  </w:style>
  <w:style w:type="paragraph" w:styleId="Heading3">
    <w:name w:val="heading 3"/>
    <w:basedOn w:val="Normal"/>
    <w:next w:val="Normal"/>
    <w:pPr>
      <w:keepNext w:val="1"/>
      <w:keepLines w:val="1"/>
      <w:spacing w:after="50" w:lineRule="auto"/>
    </w:pPr>
    <w:rPr>
      <w:rFonts w:ascii="Inter SemiBold" w:cs="Inter SemiBold" w:eastAsia="Inter SemiBold" w:hAnsi="Inter SemiBold"/>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0" w:lineRule="auto"/>
    </w:pPr>
    <w:rPr>
      <w:rFonts w:ascii="Cormorant Garamond" w:cs="Cormorant Garamond" w:eastAsia="Cormorant Garamond" w:hAnsi="Cormorant Garamond"/>
      <w:b w:val="1"/>
      <w:bCs w:val="1"/>
      <w:sz w:val="36"/>
      <w:szCs w:val="36"/>
    </w:rPr>
  </w:style>
  <w:style w:type="paragraph" w:styleId="Subtitle">
    <w:name w:val="Subtitle"/>
    <w:basedOn w:val="Normal"/>
    <w:next w:val="Normal"/>
    <w:pPr>
      <w:keepNext w:val="1"/>
      <w:keepLines w:val="1"/>
      <w:spacing w:after="0" w:lineRule="auto"/>
    </w:pPr>
    <w:rPr>
      <w:i w:val="1"/>
      <w:iCs w:val="1"/>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 Type="http://schemas.openxmlformats.org/officeDocument/2006/relationships/numbering" Target="numbering.xml"/><Relationship Id="rIdSettings" Type="http://schemas.openxmlformats.org/officeDocument/2006/relationships/settings" Target="settings.xml"/><Relationship Id="rIdFonts" Type="http://schemas.openxmlformats.org/officeDocument/2006/relationships/fontTable" Target="fontTable.xml"/><Relationship Id="rIdTheme" Type="http://schemas.openxmlformats.org/officeDocument/2006/relationships/theme" Target="theme/theme1.xml"/><Relationship Id="rIdNotes" Type="http://schemas.openxmlformats.org/officeDocument/2006/relationships/footnotes" Target="footnotes.xml"/><Relationship Id="rIdHdr" Type="http://schemas.openxmlformats.org/officeDocument/2006/relationships/header" Target="header1.xml"/><Relationship Id="rIdFtr" Type="http://schemas.openxmlformats.org/officeDocument/2006/relationships/footer" Target="footer1.xml"/><Relationship Id="rIdL1" Type="http://schemas.openxmlformats.org/officeDocument/2006/relationships/hyperlink" Target="https://chimaerafund.org/programs/catalyst-ssa/rfi/" TargetMode="External"/><Relationship Id="rIdL2" Type="http://schemas.openxmlformats.org/officeDocument/2006/relationships/hyperlink" Target="mailto:geoh2-ssa@renphil.org" TargetMode="External"/></Relationships>
</file>

<file path=word/_rels/fontTable.xml.rels><?xml version="1.0" encoding="UTF-8" standalone="yes"?><Relationships xmlns="http://schemas.openxmlformats.org/package/2006/relationships"><Relationship Id="rId1" Type="http://schemas.openxmlformats.org/officeDocument/2006/relationships/font" Target="fonts/CormorantGaramond-bold.ttf"/><Relationship Id="rId2" Type="http://schemas.openxmlformats.org/officeDocument/2006/relationships/font" Target="fonts/InterSemiBold-regular.ttf"/><Relationship Id="rId3" Type="http://schemas.openxmlformats.org/officeDocument/2006/relationships/font" Target="fonts/Inter-regular.ttf"/><Relationship Id="rId4" Type="http://schemas.openxmlformats.org/officeDocument/2006/relationships/font" Target="fonts/InterExtraLight-regular.ttf"/><Relationship Id="rId5" Type="http://schemas.openxmlformats.org/officeDocument/2006/relationships/font" Target="fonts/InterExtraLight-bold.ttf"/><Relationship Id="rId6" Type="http://schemas.openxmlformats.org/officeDocument/2006/relationships/font" Target="fonts/InterExtraLight-italic.ttf"/><Relationship Id="rId7" Type="http://schemas.openxmlformats.org/officeDocument/2006/relationships/font" Target="fonts/CormorantGaramondLight-regular.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dc:title>Catalyst: Sub-Saharan Africa: Request for Information response template</dc:title>
  <dc:creator>The Chimaera Fund</dc:creator>
</cp:coreProperties>
</file>